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1.xml"/>
  <Override ContentType="application/vnd.openxmlformats-officedocument.wordprocessingml.header+xml" PartName="/word/header1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<Relationships xmlns="http://schemas.openxmlformats.org/package/2006/relationships"><Relationship Id="rId1" Target="word/document.xml" Type="http://schemas.openxmlformats.org/officeDocument/2006/relationships/officeDocument"/><Relationship Id="rId2" Target="docProps/app.xml" Type="http://schemas.openxmlformats.org/officeDocument/2006/relationships/extended-properties"/><Relationship Id="rId3" Target="docProps/core.xml" Type="http://schemas.openxmlformats.org/package/2006/relationships/metadata/core-properties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>
  <w:body>
    <w:p>
      <w:pPr>
        <w:spacing w:before="480" w:after="480" w:line="288" w:lineRule="auto"/>
        <w:ind w:left="0"/>
      </w:pPr>
      <w:r>
        <w:rPr>
          <w:rFonts w:eastAsia="等线" w:ascii="Arial" w:cs="Arial" w:hAnsi="Arial"/>
          <w:b w:val="true"/>
          <w:sz w:val="52"/>
        </w:rPr>
        <w:t>折叠旋转电动无线充车载支架</w:t>
      </w:r>
    </w:p>
    <w:p>
      <w:pPr>
        <w:pStyle w:val="1"/>
        <w:spacing w:before="380" w:after="140" w:line="288" w:lineRule="auto"/>
        <w:ind w:left="0"/>
        <w:jc w:val="left"/>
        <w:outlineLvl w:val="0"/>
      </w:pPr>
      <w:bookmarkStart w:name="heading_0" w:id="0"/>
      <w:r>
        <w:rPr>
          <w:rFonts w:eastAsia="等线" w:ascii="Arial" w:cs="Arial" w:hAnsi="Arial"/>
          <w:b w:val="true"/>
          <w:sz w:val="36"/>
        </w:rPr>
        <w:t>折叠屏手机车载支架智能伸缩旋转电动无线充汽车用手机支架</w:t>
      </w:r>
      <w:bookmarkEnd w:id="0"/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" w:id="1"/>
      <w:r>
        <w:rPr>
          <w:rFonts w:eastAsia="等线" w:ascii="Arial" w:cs="Arial" w:hAnsi="Arial"/>
          <w:b w:val="true"/>
          <w:sz w:val="32"/>
        </w:rPr>
        <w:t>一、产品概述</w:t>
      </w:r>
      <w:bookmarkEnd w:id="1"/>
    </w:p>
    <w:p>
      <w:pPr>
        <w:numPr>
          <w:numId w:val="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产品名称：折叠旋转电动无线充车载支架</w:t>
      </w:r>
    </w:p>
    <w:p>
      <w:pPr>
        <w:numPr>
          <w:numId w:val="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价格：168元</w:t>
      </w:r>
    </w:p>
    <w:p>
      <w:pPr>
        <w:numPr>
          <w:numId w:val="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退货：7天无理由退货，极速退款。超过7天需要找平台客户申请退货，暂不支持仅退款，商家资质。</w:t>
      </w:r>
    </w:p>
    <w:p>
      <w:pPr>
        <w:numPr>
          <w:numId w:val="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物流：现货，预计19小时内发货，商家包邮</w:t>
      </w:r>
    </w:p>
    <w:p>
      <w:pPr>
        <w:numPr>
          <w:numId w:val="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产品参数</w:t>
      </w:r>
    </w:p>
    <w:p>
      <w:pPr>
        <w:numPr>
          <w:numId w:val="6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生产企业名称：深圳市汽配科技有限公司</w:t>
      </w:r>
    </w:p>
    <w:p>
      <w:pPr>
        <w:numPr>
          <w:numId w:val="7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功能：智能伸缩旋转/双线圈无线充电</w:t>
      </w:r>
    </w:p>
    <w:p>
      <w:pPr>
        <w:numPr>
          <w:numId w:val="8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产地：中国大陆</w:t>
      </w:r>
    </w:p>
    <w:p>
      <w:pPr>
        <w:numPr>
          <w:numId w:val="9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输出功率：15w</w:t>
      </w:r>
    </w:p>
    <w:p>
      <w:pPr>
        <w:numPr>
          <w:numId w:val="10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适用部位：汽车出风口/中控台</w:t>
      </w:r>
    </w:p>
    <w:p>
      <w:pPr>
        <w:numPr>
          <w:numId w:val="11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安装方式：出风口夹，中控台吸盘</w:t>
      </w:r>
    </w:p>
    <w:p>
      <w:pPr>
        <w:numPr>
          <w:numId w:val="12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 xml:space="preserve">产品尺寸：155mm * 70mm </w:t>
      </w:r>
    </w:p>
    <w:p>
      <w:pPr>
        <w:numPr>
          <w:numId w:val="13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产品型号：X01</w:t>
      </w:r>
    </w:p>
    <w:p>
      <w:pPr>
        <w:numPr>
          <w:numId w:val="14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产品颜色：黑色、灰色</w:t>
      </w:r>
    </w:p>
    <w:p>
      <w:pPr>
        <w:numPr>
          <w:numId w:val="15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产品重量：215.4g</w:t>
      </w:r>
    </w:p>
    <w:p>
      <w:pPr>
        <w:numPr>
          <w:numId w:val="16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产品材质：ABS + PC + 电镀 + 铝片五金</w:t>
      </w:r>
    </w:p>
    <w:p>
      <w:pPr>
        <w:numPr>
          <w:numId w:val="17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配件：尾夹子*1/数据线*1/说明书*1</w:t>
      </w:r>
    </w:p>
    <w:p>
      <w:pPr>
        <w:numPr>
          <w:numId w:val="18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适用位置：适合所有汽车出风口</w:t>
      </w:r>
    </w:p>
    <w:p>
      <w:pPr>
        <w:numPr>
          <w:numId w:val="19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输入：DC5V/2A, DC9V1.67A</w:t>
      </w:r>
    </w:p>
    <w:p>
      <w:pPr>
        <w:numPr>
          <w:numId w:val="20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无线充输出：5W / 7.5W / 10W / 15W (MAX)</w:t>
      </w:r>
    </w:p>
    <w:p>
      <w:pPr>
        <w:numPr>
          <w:numId w:val="21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总功率：15W</w:t>
      </w:r>
    </w:p>
    <w:p>
      <w:pPr>
        <w:numPr>
          <w:numId w:val="22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充电接口：Type-C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2" w:id="2"/>
      <w:r>
        <w:rPr>
          <w:rFonts w:eastAsia="等线" w:ascii="Arial" w:cs="Arial" w:hAnsi="Arial"/>
          <w:b w:val="true"/>
          <w:sz w:val="32"/>
        </w:rPr>
        <w:t>二、核心优势</w:t>
      </w:r>
      <w:bookmarkEnd w:id="2"/>
    </w:p>
    <w:p>
      <w:pPr>
        <w:pStyle w:val="4"/>
        <w:spacing w:before="260" w:after="120" w:line="288" w:lineRule="auto"/>
        <w:ind w:left="0"/>
        <w:jc w:val="left"/>
        <w:outlineLvl w:val="3"/>
      </w:pPr>
      <w:bookmarkStart w:name="heading_3" w:id="3"/>
      <w:r>
        <w:rPr>
          <w:rFonts w:eastAsia="等线" w:ascii="Arial" w:cs="Arial" w:hAnsi="Arial"/>
          <w:b w:val="true"/>
          <w:sz w:val="28"/>
        </w:rPr>
        <w:t>（一）强大的功能特性</w:t>
      </w:r>
      <w:bookmarkEnd w:id="3"/>
    </w:p>
    <w:p>
      <w:pPr>
        <w:spacing w:before="120" w:after="120" w:line="288" w:lineRule="auto"/>
        <w:ind w:left="0"/>
        <w:jc w:val="left"/>
      </w:pPr>
    </w:p>
    <w:p>
      <w:pPr>
        <w:numPr>
          <w:numId w:val="2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智能伸缩旋转与双线圈无线充电</w:t>
      </w:r>
    </w:p>
    <w:p>
      <w:pPr>
        <w:numPr>
          <w:numId w:val="24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具备智能伸缩旋转功能，搭配双线圈无线充电技术，输出功率可达 15W，输入规格为 DC5V/2A、DC9V1.67A，无线充输出有 5W、7.5W、10W、15W（最大）几种模式，总功率为 15W，充电接口为 Type - C。</w:t>
      </w:r>
    </w:p>
    <w:p>
      <w:pPr>
        <w:numPr>
          <w:numId w:val="2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全方位安全保障</w:t>
      </w:r>
    </w:p>
    <w:p>
      <w:pPr>
        <w:numPr>
          <w:numId w:val="26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设有六重安全保护机制，包括短路、过流、过压、温度、过放、过功率保护，确保在为手机充电时，手机不会受到任何损害，让您安心无忧。</w:t>
      </w:r>
    </w:p>
    <w:p>
      <w:pPr>
        <w:numPr>
          <w:numId w:val="2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便捷操作体验</w:t>
      </w:r>
    </w:p>
    <w:p>
      <w:pPr>
        <w:numPr>
          <w:numId w:val="28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单手操作轻松自如，一键智能旋转 90°，无论是在城市拥堵路段还是长途高速行驶中，都能让您在驾驶时便捷地操作手机。</w:t>
      </w:r>
    </w:p>
    <w:p>
      <w:pPr>
        <w:numPr>
          <w:numId w:val="29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即使手机带着保护壳，也不影响充电功能，方便至极。</w:t>
      </w:r>
    </w:p>
    <w:p>
      <w:pPr>
        <w:numPr>
          <w:numId w:val="30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稳固支撑结构</w:t>
      </w:r>
    </w:p>
    <w:p>
      <w:pPr>
        <w:numPr>
          <w:numId w:val="31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采用三角力学支撑，稳固且不下坠，多点施力有效保护汽车出风口叶片。</w:t>
      </w:r>
    </w:p>
    <w:p>
      <w:pPr>
        <w:numPr>
          <w:numId w:val="32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拥有 360° 旋转球头，可随意调整角度，满足您不同的视角需求。</w:t>
      </w:r>
    </w:p>
    <w:p>
      <w:pPr>
        <w:numPr>
          <w:numId w:val="33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加厚硅胶垫设计，抗震防滑，更好地呵护您的手机。</w:t>
      </w:r>
    </w:p>
    <w:p>
      <w:pPr>
        <w:numPr>
          <w:numId w:val="34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预留充电孔，即使不使用无线充电功能，也可进行有线充电，为您提供更多选择。</w:t>
      </w:r>
    </w:p>
    <w:p>
      <w:pPr>
        <w:pStyle w:val="4"/>
        <w:spacing w:before="260" w:after="120" w:line="288" w:lineRule="auto"/>
        <w:ind w:left="0"/>
        <w:jc w:val="left"/>
        <w:outlineLvl w:val="3"/>
      </w:pPr>
      <w:bookmarkStart w:name="heading_4" w:id="4"/>
      <w:r>
        <w:rPr>
          <w:rFonts w:eastAsia="等线" w:ascii="Arial" w:cs="Arial" w:hAnsi="Arial"/>
          <w:b w:val="true"/>
          <w:sz w:val="28"/>
        </w:rPr>
        <w:t>（二）广泛的兼容性</w:t>
      </w:r>
      <w:bookmarkEnd w:id="4"/>
    </w:p>
    <w:p>
      <w:pPr>
        <w:spacing w:before="120" w:after="120" w:line="288" w:lineRule="auto"/>
        <w:ind w:left="0"/>
        <w:jc w:val="left"/>
      </w:pPr>
    </w:p>
    <w:p>
      <w:pPr>
        <w:numPr>
          <w:numId w:val="3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适用机型广泛</w:t>
      </w:r>
    </w:p>
    <w:p>
      <w:pPr>
        <w:numPr>
          <w:numId w:val="36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适用于众多品牌的折叠屏和直板手机，包括华为（P60/P50/P40/P30 系列，Mate 60/50/40/30 系列，Mate X/XS/X2/XS2，Mate X3/Mate X5 Series，P50 Pocket）、三星（Note20/10/9/8 系列，S10/9/8 系列，GALAXY Fold 5，Fold 6/，GALAXY W23/W24）、苹果（8/X/11/12/13/14/15 Series）、小米（MIX FOLD/FOLD 2/FOLD 3/FOLD 4）、荣耀（Magic V2/V3/V Flip/VS/VS2/VS3）等。</w:t>
      </w:r>
    </w:p>
    <w:p>
      <w:pPr>
        <w:numPr>
          <w:numId w:val="3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适用位置多样</w:t>
      </w:r>
    </w:p>
    <w:p>
      <w:pPr>
        <w:numPr>
          <w:numId w:val="38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可调节宽度在 142 - 170mm（按下按钮夹臂自动伸缩），产品尺寸为 155mm * 70mm，产品型号为 X01，有黑色、灰色两种颜色可选，产品重量为 215.4g，材质采用 ABS + PC + 电镀 + 铝片五金。配件包括尾夹子 1 个、数据线 1 条、说明书 1 份。适合所有汽车出风口，安装方式有出风口夹和中控台吸盘两种，形式为三叉式钩夹，适用于卸除风口、圆出风口、异性出风口等多种车型出风口类型。</w:t>
      </w:r>
    </w:p>
    <w:p>
      <w:pPr>
        <w:pStyle w:val="3"/>
        <w:spacing w:before="300" w:after="120" w:line="288" w:lineRule="auto"/>
        <w:ind w:left="0"/>
        <w:jc w:val="left"/>
        <w:outlineLvl w:val="2"/>
      </w:pPr>
      <w:bookmarkStart w:name="heading_5" w:id="5"/>
      <w:r>
        <w:rPr>
          <w:rFonts w:eastAsia="等线" w:ascii="Arial" w:cs="Arial" w:hAnsi="Arial"/>
          <w:b w:val="true"/>
          <w:sz w:val="30"/>
        </w:rPr>
        <w:t>三、应用场景</w:t>
      </w:r>
      <w:bookmarkEnd w:id="5"/>
    </w:p>
    <w:p>
      <w:pPr>
        <w:spacing w:before="120" w:after="120" w:line="288" w:lineRule="auto"/>
        <w:ind w:left="0"/>
        <w:jc w:val="left"/>
      </w:pPr>
    </w:p>
    <w:p>
      <w:pPr>
        <w:numPr>
          <w:numId w:val="3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日常通勤场景</w:t>
      </w:r>
    </w:p>
    <w:p>
      <w:pPr>
        <w:numPr>
          <w:numId w:val="40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在每日的通勤路上，您只需将手机放入支架，支架会自动夹紧手机，然后通过无线充电功能为手机充电。在驾驶过程中，您可以轻松地通过一键旋转来查看导航信息，无需分心操作手机，确保您的通勤之路安全又便捷。</w:t>
      </w:r>
    </w:p>
    <w:p>
      <w:pPr>
        <w:numPr>
          <w:numId w:val="4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长途驾驶场景</w:t>
      </w:r>
    </w:p>
    <w:p>
      <w:pPr>
        <w:numPr>
          <w:numId w:val="42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当您踏上长途驾驶之旅时，复杂的路况不会对我们的支架造成丝毫影响。手机能够被稳稳地固定在支架上，同时快速充电。您可以在驾驶过程中单手操作手机，无论是接听重要电话还是查看行程安排，都能轻松应对，而且手机在整个行程中都能得到很好的保护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6" w:id="6"/>
      <w:r>
        <w:rPr>
          <w:rFonts w:eastAsia="等线" w:ascii="Arial" w:cs="Arial" w:hAnsi="Arial"/>
          <w:b w:val="true"/>
          <w:sz w:val="32"/>
        </w:rPr>
        <w:t>四、品牌口号</w:t>
      </w:r>
      <w:bookmarkEnd w:id="6"/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口号：超能充、超智能、超兼容、超稳定、超灵敏、超方便。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7" w:id="7"/>
      <w:r>
        <w:rPr>
          <w:rFonts w:eastAsia="等线" w:ascii="Arial" w:cs="Arial" w:hAnsi="Arial"/>
          <w:b w:val="true"/>
          <w:sz w:val="32"/>
        </w:rPr>
        <w:t>五、注意事项：</w:t>
      </w:r>
      <w:bookmarkEnd w:id="7"/>
    </w:p>
    <w:p>
      <w:pPr>
        <w:numPr>
          <w:numId w:val="4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为确保成功充电,请将手机摄像头放置在充电器的中心位置。</w:t>
      </w:r>
    </w:p>
    <w:p>
      <w:pPr>
        <w:numPr>
          <w:numId w:val="4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折叠屏一定是横着往右边放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5257800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sectPr>
      <w:footerReference w:type="default" r:id="rId3"/>
      <w:headerReference w:type="default" r:id="rId6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 xmlns:v="urn:schemas-microsoft-com:vml" xmlns:o="urn:schemas-microsoft-com:office:office" xmlns:w10="urn:schemas-microsoft-com:office:word" xmlns:r="http://schemas.openxmlformats.org/officeDocument/2006/relationships">
  <w:p w:rsidP="" w:rsidRDefault="">
    <w:pPr>
      <w:pStyle w:val="Header"/>
    </w:pPr>
    <w:r>
      <w:rPr>
        <w:noProof/>
      </w:rPr>
      <w:pict>
        <v:shapetype id="_x0000_t75" coordsize="21600,21600" o:spt="75.0" path="m@4@5l@4@11@9@11@9@5xe" stroked="f" filled="f" o:preferrelative="t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gradientshapeok="t" o:connecttype="rect" o:extrusionok="f"/>
          <o:lock v:ext="edit" aspectratio="t"/>
        </v:shapetype>
        <v:shape id="WordPictureWatermark1" o:spid="_x0000_s1025" type="#_x0000_t75" o:allowincell="f" style="position:absolute;left:0;text-align:left;margin-left:0;margin-top:0;width:414pt;height:697.5pt;z-index:-251645952;mso-wrap-edited:f;mso-width-percent:0;mso-height-percent:0;mso-position-horizontal:center;mso-position-horizontal-relative:margin;mso-position-vertical:center;mso-position-vertical-relative:margin;mso-width-percent:0;mso-height-percent:0">
          <w10:wrap anchorx="margin" anchory="margin"/>
          <v:imagedata r:id="rId1" o:title="image899"/>
        </v:shape>
      </w:pict>
    </w:r>
  </w:p>
</w:hdr>
</file>

<file path=word/numbering.xml><?xml version="1.0" encoding="utf-8"?>
<w:numbering xmlns:w="http://schemas.openxmlformats.org/wordprocessingml/2006/main">
  <w:abstractNum w:abstractNumId="547210">
    <w:lvl>
      <w:numFmt w:val="bullet"/>
      <w:suff w:val="tab"/>
      <w:lvlText w:val="•"/>
      <w:rPr>
        <w:color w:val="3370ff"/>
      </w:rPr>
    </w:lvl>
  </w:abstractNum>
  <w:abstractNum w:abstractNumId="547211">
    <w:lvl>
      <w:numFmt w:val="bullet"/>
      <w:suff w:val="tab"/>
      <w:lvlText w:val="•"/>
      <w:rPr>
        <w:color w:val="3370ff"/>
      </w:rPr>
    </w:lvl>
  </w:abstractNum>
  <w:abstractNum w:abstractNumId="547212">
    <w:lvl>
      <w:numFmt w:val="bullet"/>
      <w:suff w:val="tab"/>
      <w:lvlText w:val="•"/>
      <w:rPr>
        <w:color w:val="3370ff"/>
      </w:rPr>
    </w:lvl>
  </w:abstractNum>
  <w:abstractNum w:abstractNumId="547213">
    <w:lvl>
      <w:numFmt w:val="bullet"/>
      <w:suff w:val="tab"/>
      <w:lvlText w:val="•"/>
      <w:rPr>
        <w:color w:val="3370ff"/>
      </w:rPr>
    </w:lvl>
  </w:abstractNum>
  <w:abstractNum w:abstractNumId="547214">
    <w:lvl>
      <w:numFmt w:val="bullet"/>
      <w:suff w:val="tab"/>
      <w:lvlText w:val="•"/>
      <w:rPr>
        <w:color w:val="3370ff"/>
      </w:rPr>
    </w:lvl>
  </w:abstractNum>
  <w:abstractNum w:abstractNumId="547215">
    <w:lvl>
      <w:numFmt w:val="bullet"/>
      <w:suff w:val="tab"/>
      <w:lvlText w:val="￮"/>
      <w:rPr>
        <w:color w:val="3370ff"/>
      </w:rPr>
    </w:lvl>
  </w:abstractNum>
  <w:abstractNum w:abstractNumId="547216">
    <w:lvl>
      <w:numFmt w:val="bullet"/>
      <w:suff w:val="tab"/>
      <w:lvlText w:val="￮"/>
      <w:rPr>
        <w:color w:val="3370ff"/>
      </w:rPr>
    </w:lvl>
  </w:abstractNum>
  <w:abstractNum w:abstractNumId="547217">
    <w:lvl>
      <w:numFmt w:val="bullet"/>
      <w:suff w:val="tab"/>
      <w:lvlText w:val="￮"/>
      <w:rPr>
        <w:color w:val="3370ff"/>
      </w:rPr>
    </w:lvl>
  </w:abstractNum>
  <w:abstractNum w:abstractNumId="547218">
    <w:lvl>
      <w:numFmt w:val="bullet"/>
      <w:suff w:val="tab"/>
      <w:lvlText w:val="￮"/>
      <w:rPr>
        <w:color w:val="3370ff"/>
      </w:rPr>
    </w:lvl>
  </w:abstractNum>
  <w:abstractNum w:abstractNumId="547219">
    <w:lvl>
      <w:numFmt w:val="bullet"/>
      <w:suff w:val="tab"/>
      <w:lvlText w:val="￮"/>
      <w:rPr>
        <w:color w:val="3370ff"/>
      </w:rPr>
    </w:lvl>
  </w:abstractNum>
  <w:abstractNum w:abstractNumId="547220">
    <w:lvl>
      <w:numFmt w:val="bullet"/>
      <w:suff w:val="tab"/>
      <w:lvlText w:val="￮"/>
      <w:rPr>
        <w:color w:val="3370ff"/>
      </w:rPr>
    </w:lvl>
  </w:abstractNum>
  <w:abstractNum w:abstractNumId="547221">
    <w:lvl>
      <w:numFmt w:val="bullet"/>
      <w:suff w:val="tab"/>
      <w:lvlText w:val="￮"/>
      <w:rPr>
        <w:color w:val="3370ff"/>
      </w:rPr>
    </w:lvl>
  </w:abstractNum>
  <w:abstractNum w:abstractNumId="547222">
    <w:lvl>
      <w:numFmt w:val="bullet"/>
      <w:suff w:val="tab"/>
      <w:lvlText w:val="￮"/>
      <w:rPr>
        <w:color w:val="3370ff"/>
      </w:rPr>
    </w:lvl>
  </w:abstractNum>
  <w:abstractNum w:abstractNumId="547223">
    <w:lvl>
      <w:numFmt w:val="bullet"/>
      <w:suff w:val="tab"/>
      <w:lvlText w:val="￮"/>
      <w:rPr>
        <w:color w:val="3370ff"/>
      </w:rPr>
    </w:lvl>
  </w:abstractNum>
  <w:abstractNum w:abstractNumId="547224">
    <w:lvl>
      <w:numFmt w:val="bullet"/>
      <w:suff w:val="tab"/>
      <w:lvlText w:val="￮"/>
      <w:rPr>
        <w:color w:val="3370ff"/>
      </w:rPr>
    </w:lvl>
  </w:abstractNum>
  <w:abstractNum w:abstractNumId="547225">
    <w:lvl>
      <w:numFmt w:val="bullet"/>
      <w:suff w:val="tab"/>
      <w:lvlText w:val="￮"/>
      <w:rPr>
        <w:color w:val="3370ff"/>
      </w:rPr>
    </w:lvl>
  </w:abstractNum>
  <w:abstractNum w:abstractNumId="547226">
    <w:lvl>
      <w:numFmt w:val="bullet"/>
      <w:suff w:val="tab"/>
      <w:lvlText w:val="￮"/>
      <w:rPr>
        <w:color w:val="3370ff"/>
      </w:rPr>
    </w:lvl>
  </w:abstractNum>
  <w:abstractNum w:abstractNumId="547227">
    <w:lvl>
      <w:numFmt w:val="bullet"/>
      <w:suff w:val="tab"/>
      <w:lvlText w:val="￮"/>
      <w:rPr>
        <w:color w:val="3370ff"/>
      </w:rPr>
    </w:lvl>
  </w:abstractNum>
  <w:abstractNum w:abstractNumId="547228">
    <w:lvl>
      <w:numFmt w:val="bullet"/>
      <w:suff w:val="tab"/>
      <w:lvlText w:val="￮"/>
      <w:rPr>
        <w:color w:val="3370ff"/>
      </w:rPr>
    </w:lvl>
  </w:abstractNum>
  <w:abstractNum w:abstractNumId="547229">
    <w:lvl>
      <w:numFmt w:val="bullet"/>
      <w:suff w:val="tab"/>
      <w:lvlText w:val="￮"/>
      <w:rPr>
        <w:color w:val="3370ff"/>
      </w:rPr>
    </w:lvl>
  </w:abstractNum>
  <w:abstractNum w:abstractNumId="547230">
    <w:lvl>
      <w:numFmt w:val="bullet"/>
      <w:suff w:val="tab"/>
      <w:lvlText w:val="￮"/>
      <w:rPr>
        <w:color w:val="3370ff"/>
      </w:rPr>
    </w:lvl>
  </w:abstractNum>
  <w:abstractNum w:abstractNumId="547231">
    <w:lvl>
      <w:numFmt w:val="bullet"/>
      <w:suff w:val="tab"/>
      <w:lvlText w:val="￮"/>
      <w:rPr>
        <w:color w:val="3370ff"/>
      </w:rPr>
    </w:lvl>
  </w:abstractNum>
  <w:abstractNum w:abstractNumId="547232">
    <w:lvl>
      <w:start w:val="1"/>
      <w:numFmt w:val="decimal"/>
      <w:suff w:val="tab"/>
      <w:lvlText w:val="%1."/>
      <w:rPr>
        <w:color w:val="3370ff"/>
      </w:rPr>
    </w:lvl>
  </w:abstractNum>
  <w:abstractNum w:abstractNumId="547233">
    <w:lvl>
      <w:numFmt w:val="bullet"/>
      <w:suff w:val="tab"/>
      <w:lvlText w:val="￮"/>
      <w:rPr>
        <w:color w:val="3370ff"/>
      </w:rPr>
    </w:lvl>
  </w:abstractNum>
  <w:abstractNum w:abstractNumId="547234">
    <w:lvl>
      <w:start w:val="2"/>
      <w:numFmt w:val="decimal"/>
      <w:suff w:val="tab"/>
      <w:lvlText w:val="%1."/>
      <w:rPr>
        <w:color w:val="3370ff"/>
      </w:rPr>
    </w:lvl>
  </w:abstractNum>
  <w:abstractNum w:abstractNumId="547235">
    <w:lvl>
      <w:numFmt w:val="bullet"/>
      <w:suff w:val="tab"/>
      <w:lvlText w:val="￮"/>
      <w:rPr>
        <w:color w:val="3370ff"/>
      </w:rPr>
    </w:lvl>
  </w:abstractNum>
  <w:abstractNum w:abstractNumId="547236">
    <w:lvl>
      <w:start w:val="3"/>
      <w:numFmt w:val="decimal"/>
      <w:suff w:val="tab"/>
      <w:lvlText w:val="%1."/>
      <w:rPr>
        <w:color w:val="3370ff"/>
      </w:rPr>
    </w:lvl>
  </w:abstractNum>
  <w:abstractNum w:abstractNumId="547237">
    <w:lvl>
      <w:numFmt w:val="bullet"/>
      <w:suff w:val="tab"/>
      <w:lvlText w:val="￮"/>
      <w:rPr>
        <w:color w:val="3370ff"/>
      </w:rPr>
    </w:lvl>
  </w:abstractNum>
  <w:abstractNum w:abstractNumId="547238">
    <w:lvl>
      <w:numFmt w:val="bullet"/>
      <w:suff w:val="tab"/>
      <w:lvlText w:val="￮"/>
      <w:rPr>
        <w:color w:val="3370ff"/>
      </w:rPr>
    </w:lvl>
  </w:abstractNum>
  <w:abstractNum w:abstractNumId="547239">
    <w:lvl>
      <w:start w:val="4"/>
      <w:numFmt w:val="decimal"/>
      <w:suff w:val="tab"/>
      <w:lvlText w:val="%1."/>
      <w:rPr>
        <w:color w:val="3370ff"/>
      </w:rPr>
    </w:lvl>
  </w:abstractNum>
  <w:abstractNum w:abstractNumId="547240">
    <w:lvl>
      <w:numFmt w:val="bullet"/>
      <w:suff w:val="tab"/>
      <w:lvlText w:val="￮"/>
      <w:rPr>
        <w:color w:val="3370ff"/>
      </w:rPr>
    </w:lvl>
  </w:abstractNum>
  <w:abstractNum w:abstractNumId="547241">
    <w:lvl>
      <w:numFmt w:val="bullet"/>
      <w:suff w:val="tab"/>
      <w:lvlText w:val="￮"/>
      <w:rPr>
        <w:color w:val="3370ff"/>
      </w:rPr>
    </w:lvl>
  </w:abstractNum>
  <w:abstractNum w:abstractNumId="547242">
    <w:lvl>
      <w:numFmt w:val="bullet"/>
      <w:suff w:val="tab"/>
      <w:lvlText w:val="￮"/>
      <w:rPr>
        <w:color w:val="3370ff"/>
      </w:rPr>
    </w:lvl>
  </w:abstractNum>
  <w:abstractNum w:abstractNumId="547243">
    <w:lvl>
      <w:numFmt w:val="bullet"/>
      <w:suff w:val="tab"/>
      <w:lvlText w:val="￮"/>
      <w:rPr>
        <w:color w:val="3370ff"/>
      </w:rPr>
    </w:lvl>
  </w:abstractNum>
  <w:abstractNum w:abstractNumId="547244">
    <w:lvl>
      <w:start w:val="1"/>
      <w:numFmt w:val="decimal"/>
      <w:suff w:val="tab"/>
      <w:lvlText w:val="%1."/>
      <w:rPr>
        <w:color w:val="3370ff"/>
      </w:rPr>
    </w:lvl>
  </w:abstractNum>
  <w:abstractNum w:abstractNumId="547245">
    <w:lvl>
      <w:numFmt w:val="bullet"/>
      <w:suff w:val="tab"/>
      <w:lvlText w:val="￮"/>
      <w:rPr>
        <w:color w:val="3370ff"/>
      </w:rPr>
    </w:lvl>
  </w:abstractNum>
  <w:abstractNum w:abstractNumId="547246">
    <w:lvl>
      <w:start w:val="2"/>
      <w:numFmt w:val="decimal"/>
      <w:suff w:val="tab"/>
      <w:lvlText w:val="%1."/>
      <w:rPr>
        <w:color w:val="3370ff"/>
      </w:rPr>
    </w:lvl>
  </w:abstractNum>
  <w:abstractNum w:abstractNumId="547247">
    <w:lvl>
      <w:numFmt w:val="bullet"/>
      <w:suff w:val="tab"/>
      <w:lvlText w:val="￮"/>
      <w:rPr>
        <w:color w:val="3370ff"/>
      </w:rPr>
    </w:lvl>
  </w:abstractNum>
  <w:abstractNum w:abstractNumId="547248">
    <w:lvl>
      <w:start w:val="1"/>
      <w:numFmt w:val="decimal"/>
      <w:suff w:val="tab"/>
      <w:lvlText w:val="%1."/>
      <w:rPr>
        <w:color w:val="3370ff"/>
      </w:rPr>
    </w:lvl>
  </w:abstractNum>
  <w:abstractNum w:abstractNumId="547249">
    <w:lvl>
      <w:numFmt w:val="bullet"/>
      <w:suff w:val="tab"/>
      <w:lvlText w:val="￮"/>
      <w:rPr>
        <w:color w:val="3370ff"/>
      </w:rPr>
    </w:lvl>
  </w:abstractNum>
  <w:abstractNum w:abstractNumId="547250">
    <w:lvl>
      <w:start w:val="2"/>
      <w:numFmt w:val="decimal"/>
      <w:suff w:val="tab"/>
      <w:lvlText w:val="%1."/>
      <w:rPr>
        <w:color w:val="3370ff"/>
      </w:rPr>
    </w:lvl>
  </w:abstractNum>
  <w:abstractNum w:abstractNumId="547251">
    <w:lvl>
      <w:numFmt w:val="bullet"/>
      <w:suff w:val="tab"/>
      <w:lvlText w:val="￮"/>
      <w:rPr>
        <w:color w:val="3370ff"/>
      </w:rPr>
    </w:lvl>
  </w:abstractNum>
  <w:abstractNum w:abstractNumId="547252">
    <w:lvl>
      <w:numFmt w:val="bullet"/>
      <w:suff w:val="tab"/>
      <w:lvlText w:val="•"/>
      <w:rPr>
        <w:color w:val="3370ff"/>
      </w:rPr>
    </w:lvl>
  </w:abstractNum>
  <w:abstractNum w:abstractNumId="547253">
    <w:lvl>
      <w:numFmt w:val="bullet"/>
      <w:suff w:val="tab"/>
      <w:lvlText w:val="•"/>
      <w:rPr>
        <w:color w:val="3370ff"/>
      </w:rPr>
    </w:lvl>
  </w:abstractNum>
  <w:num w:numId="1">
    <w:abstractNumId w:val="547210"/>
  </w:num>
  <w:num w:numId="2">
    <w:abstractNumId w:val="547211"/>
  </w:num>
  <w:num w:numId="3">
    <w:abstractNumId w:val="547212"/>
  </w:num>
  <w:num w:numId="4">
    <w:abstractNumId w:val="547213"/>
  </w:num>
  <w:num w:numId="5">
    <w:abstractNumId w:val="547214"/>
  </w:num>
  <w:num w:numId="6">
    <w:abstractNumId w:val="547215"/>
  </w:num>
  <w:num w:numId="7">
    <w:abstractNumId w:val="547216"/>
  </w:num>
  <w:num w:numId="8">
    <w:abstractNumId w:val="547217"/>
  </w:num>
  <w:num w:numId="9">
    <w:abstractNumId w:val="547218"/>
  </w:num>
  <w:num w:numId="10">
    <w:abstractNumId w:val="547219"/>
  </w:num>
  <w:num w:numId="11">
    <w:abstractNumId w:val="547220"/>
  </w:num>
  <w:num w:numId="12">
    <w:abstractNumId w:val="547221"/>
  </w:num>
  <w:num w:numId="13">
    <w:abstractNumId w:val="547222"/>
  </w:num>
  <w:num w:numId="14">
    <w:abstractNumId w:val="547223"/>
  </w:num>
  <w:num w:numId="15">
    <w:abstractNumId w:val="547224"/>
  </w:num>
  <w:num w:numId="16">
    <w:abstractNumId w:val="547225"/>
  </w:num>
  <w:num w:numId="17">
    <w:abstractNumId w:val="547226"/>
  </w:num>
  <w:num w:numId="18">
    <w:abstractNumId w:val="547227"/>
  </w:num>
  <w:num w:numId="19">
    <w:abstractNumId w:val="547228"/>
  </w:num>
  <w:num w:numId="20">
    <w:abstractNumId w:val="547229"/>
  </w:num>
  <w:num w:numId="21">
    <w:abstractNumId w:val="547230"/>
  </w:num>
  <w:num w:numId="22">
    <w:abstractNumId w:val="547231"/>
  </w:num>
  <w:num w:numId="23">
    <w:abstractNumId w:val="547232"/>
  </w:num>
  <w:num w:numId="24">
    <w:abstractNumId w:val="547233"/>
  </w:num>
  <w:num w:numId="25">
    <w:abstractNumId w:val="547234"/>
  </w:num>
  <w:num w:numId="26">
    <w:abstractNumId w:val="547235"/>
  </w:num>
  <w:num w:numId="27">
    <w:abstractNumId w:val="547236"/>
  </w:num>
  <w:num w:numId="28">
    <w:abstractNumId w:val="547237"/>
  </w:num>
  <w:num w:numId="29">
    <w:abstractNumId w:val="547238"/>
  </w:num>
  <w:num w:numId="30">
    <w:abstractNumId w:val="547239"/>
  </w:num>
  <w:num w:numId="31">
    <w:abstractNumId w:val="547240"/>
  </w:num>
  <w:num w:numId="32">
    <w:abstractNumId w:val="547241"/>
  </w:num>
  <w:num w:numId="33">
    <w:abstractNumId w:val="547242"/>
  </w:num>
  <w:num w:numId="34">
    <w:abstractNumId w:val="547243"/>
  </w:num>
  <w:num w:numId="35">
    <w:abstractNumId w:val="547244"/>
  </w:num>
  <w:num w:numId="36">
    <w:abstractNumId w:val="547245"/>
  </w:num>
  <w:num w:numId="37">
    <w:abstractNumId w:val="547246"/>
  </w:num>
  <w:num w:numId="38">
    <w:abstractNumId w:val="547247"/>
  </w:num>
  <w:num w:numId="39">
    <w:abstractNumId w:val="547248"/>
  </w:num>
  <w:num w:numId="40">
    <w:abstractNumId w:val="547249"/>
  </w:num>
  <w:num w:numId="41">
    <w:abstractNumId w:val="547250"/>
  </w:num>
  <w:num w:numId="42">
    <w:abstractNumId w:val="547251"/>
  </w:num>
  <w:num w:numId="43">
    <w:abstractNumId w:val="547252"/>
  </w:num>
  <w:num w:numId="44">
    <w:abstractNumId w:val="547253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arget="settings.xml" Type="http://schemas.openxmlformats.org/officeDocument/2006/relationships/settings"/><Relationship Id="rId2" Target="styles.xml" Type="http://schemas.openxmlformats.org/officeDocument/2006/relationships/styles"/><Relationship Id="rId3" Target="footer1.xml" Type="http://schemas.openxmlformats.org/officeDocument/2006/relationships/footer"/><Relationship Id="rId4" Target="numbering.xml" Type="http://schemas.openxmlformats.org/officeDocument/2006/relationships/numbering"/><Relationship Id="rId5" Target="media/image1.png" Type="http://schemas.openxmlformats.org/officeDocument/2006/relationships/image"/><Relationship Id="rId6" Target="header1.xml" Type="http://schemas.openxmlformats.org/officeDocument/2006/relationships/header"/></Relationships>
</file>

<file path=word/_rels/header1.xml.rels><?xml version="1.0" encoding="UTF-8" standalone="yes"?><Relationships xmlns="http://schemas.openxmlformats.org/package/2006/relationships"><Relationship Id="rId1" Target="media/image2.png" Type="http://schemas.openxmlformats.org/officeDocument/2006/relationships/image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2025-01-21T09:28:10Z</dcterms:created>
  <dc:creator>Apache POI</dc:creator>
</cp:coreProperties>
</file>